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20D9" w14:textId="4E40B8D9" w:rsidR="00CC0ACB" w:rsidRDefault="0015108E" w:rsidP="009F7D62">
      <w:pPr>
        <w:spacing w:after="300" w:line="240" w:lineRule="auto"/>
        <w:rPr>
          <w:sz w:val="24"/>
          <w:szCs w:val="24"/>
          <w:lang w:val="en-US"/>
        </w:rPr>
      </w:pPr>
      <w:r w:rsidRPr="00023506">
        <w:rPr>
          <w:b/>
          <w:bCs/>
          <w:sz w:val="24"/>
          <w:szCs w:val="24"/>
          <w:lang w:val="en-US"/>
        </w:rPr>
        <w:t>Presentation</w:t>
      </w:r>
      <w:r>
        <w:rPr>
          <w:sz w:val="24"/>
          <w:szCs w:val="24"/>
          <w:lang w:val="en-US"/>
        </w:rPr>
        <w:t xml:space="preserve">: </w:t>
      </w:r>
      <w:r w:rsidR="00BC52C5">
        <w:rPr>
          <w:sz w:val="24"/>
          <w:szCs w:val="24"/>
          <w:lang w:val="en-US"/>
        </w:rPr>
        <w:t>Equivalence</w:t>
      </w:r>
      <w:r w:rsidR="00BC52C5" w:rsidRPr="001E64BE">
        <w:rPr>
          <w:sz w:val="24"/>
          <w:szCs w:val="24"/>
          <w:lang w:val="en-US"/>
        </w:rPr>
        <w:t xml:space="preserve"> </w:t>
      </w:r>
      <w:r w:rsidR="00BC52C5">
        <w:rPr>
          <w:sz w:val="24"/>
          <w:szCs w:val="24"/>
          <w:lang w:val="en-US"/>
        </w:rPr>
        <w:t xml:space="preserve">of </w:t>
      </w:r>
      <w:r w:rsidR="003A751C" w:rsidRPr="001E64BE">
        <w:rPr>
          <w:sz w:val="24"/>
          <w:szCs w:val="24"/>
          <w:lang w:val="en-US"/>
        </w:rPr>
        <w:t>Dissolution Profil</w:t>
      </w:r>
      <w:r w:rsidR="00BC52C5">
        <w:rPr>
          <w:sz w:val="24"/>
          <w:szCs w:val="24"/>
          <w:lang w:val="en-US"/>
        </w:rPr>
        <w:t>es</w:t>
      </w:r>
      <w:r w:rsidR="003A751C" w:rsidRPr="001E64BE">
        <w:rPr>
          <w:sz w:val="24"/>
          <w:szCs w:val="24"/>
          <w:lang w:val="en-US"/>
        </w:rPr>
        <w:t xml:space="preserve">: </w:t>
      </w:r>
      <w:r w:rsidR="00BC52C5">
        <w:rPr>
          <w:sz w:val="24"/>
          <w:szCs w:val="24"/>
          <w:lang w:val="en-US"/>
        </w:rPr>
        <w:t xml:space="preserve">Summary of statistical follow-up activities of </w:t>
      </w:r>
      <w:r w:rsidR="009F7D62">
        <w:rPr>
          <w:sz w:val="24"/>
          <w:szCs w:val="24"/>
          <w:lang w:val="en-US"/>
        </w:rPr>
        <w:t xml:space="preserve">the </w:t>
      </w:r>
      <w:r w:rsidR="00BC52C5">
        <w:rPr>
          <w:sz w:val="24"/>
          <w:szCs w:val="24"/>
          <w:lang w:val="en-US"/>
        </w:rPr>
        <w:t>M-CERSI workshop 2019</w:t>
      </w:r>
      <w:r w:rsidR="00932497">
        <w:rPr>
          <w:sz w:val="24"/>
          <w:szCs w:val="24"/>
          <w:lang w:val="en-US"/>
        </w:rPr>
        <w:t xml:space="preserve"> </w:t>
      </w:r>
    </w:p>
    <w:p w14:paraId="43AFDB88" w14:textId="77777777" w:rsidR="0015108E" w:rsidRDefault="0015108E" w:rsidP="009F7D62">
      <w:pPr>
        <w:spacing w:after="300" w:line="240" w:lineRule="auto"/>
        <w:rPr>
          <w:sz w:val="24"/>
          <w:szCs w:val="24"/>
          <w:lang w:val="en-US"/>
        </w:rPr>
      </w:pPr>
      <w:r w:rsidRPr="00023506">
        <w:rPr>
          <w:b/>
          <w:bCs/>
          <w:sz w:val="24"/>
          <w:szCs w:val="24"/>
          <w:lang w:val="en-US"/>
        </w:rPr>
        <w:t>Author</w:t>
      </w:r>
      <w:r>
        <w:rPr>
          <w:sz w:val="24"/>
          <w:szCs w:val="24"/>
          <w:lang w:val="en-US"/>
        </w:rPr>
        <w:t>: Dr. Thomas Hoffelder</w:t>
      </w:r>
    </w:p>
    <w:p w14:paraId="4C85BACF" w14:textId="2133D170" w:rsidR="0015108E" w:rsidRPr="00023506" w:rsidRDefault="004058C5" w:rsidP="009F7D62">
      <w:pPr>
        <w:spacing w:after="300" w:line="24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NCS </w:t>
      </w:r>
      <w:r w:rsidR="003D513A">
        <w:rPr>
          <w:b/>
          <w:bCs/>
          <w:sz w:val="24"/>
          <w:szCs w:val="24"/>
          <w:lang w:val="en-US"/>
        </w:rPr>
        <w:t>working area</w:t>
      </w:r>
      <w:r w:rsidR="00023506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Chemistry, Manufacturing and Control (</w:t>
      </w:r>
      <w:r w:rsidR="00932497">
        <w:rPr>
          <w:sz w:val="24"/>
          <w:szCs w:val="24"/>
          <w:lang w:val="en-US"/>
        </w:rPr>
        <w:t>CMC</w:t>
      </w:r>
      <w:r>
        <w:rPr>
          <w:sz w:val="24"/>
          <w:szCs w:val="24"/>
          <w:lang w:val="en-US"/>
        </w:rPr>
        <w:t>) area</w:t>
      </w:r>
    </w:p>
    <w:p w14:paraId="415C7F33" w14:textId="77777777" w:rsidR="001E64BE" w:rsidRPr="00BA3BD5" w:rsidRDefault="001E64BE" w:rsidP="009F7D62">
      <w:pPr>
        <w:spacing w:after="300" w:line="240" w:lineRule="auto"/>
        <w:rPr>
          <w:b/>
          <w:bCs/>
          <w:sz w:val="24"/>
          <w:szCs w:val="24"/>
          <w:lang w:val="en-US"/>
        </w:rPr>
      </w:pPr>
      <w:r w:rsidRPr="00BA3BD5">
        <w:rPr>
          <w:b/>
          <w:bCs/>
          <w:sz w:val="24"/>
          <w:szCs w:val="24"/>
          <w:lang w:val="en-US"/>
        </w:rPr>
        <w:t>Abstract</w:t>
      </w:r>
    </w:p>
    <w:p w14:paraId="544E8418" w14:textId="61C4AC43" w:rsidR="009C7D9C" w:rsidRDefault="0033530E" w:rsidP="009F7D62">
      <w:pPr>
        <w:spacing w:after="30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Dissolution </w:t>
      </w:r>
      <w:r w:rsidR="00F81E92">
        <w:rPr>
          <w:sz w:val="24"/>
          <w:szCs w:val="24"/>
          <w:lang w:val="en-US"/>
        </w:rPr>
        <w:t xml:space="preserve">profile comparisons are </w:t>
      </w:r>
      <w:r w:rsidR="00E60D52">
        <w:rPr>
          <w:sz w:val="24"/>
          <w:szCs w:val="24"/>
          <w:lang w:val="en-US"/>
        </w:rPr>
        <w:t>used</w:t>
      </w:r>
      <w:r w:rsidR="00F81E92">
        <w:rPr>
          <w:sz w:val="24"/>
          <w:szCs w:val="24"/>
          <w:lang w:val="en-US"/>
        </w:rPr>
        <w:t xml:space="preserve"> </w:t>
      </w:r>
      <w:r w:rsidR="00023506">
        <w:rPr>
          <w:sz w:val="24"/>
          <w:szCs w:val="24"/>
          <w:lang w:val="en-US"/>
        </w:rPr>
        <w:t xml:space="preserve">in the pharmaceutical industry </w:t>
      </w:r>
      <w:r w:rsidR="00F81E92">
        <w:rPr>
          <w:sz w:val="24"/>
          <w:szCs w:val="24"/>
          <w:lang w:val="en-US"/>
        </w:rPr>
        <w:t>i</w:t>
      </w:r>
      <w:r w:rsidR="001E64BE" w:rsidRPr="001E64BE">
        <w:rPr>
          <w:sz w:val="24"/>
          <w:szCs w:val="24"/>
          <w:lang w:val="en-US"/>
        </w:rPr>
        <w:t xml:space="preserve">n the context of </w:t>
      </w:r>
      <w:r w:rsidR="00F81E92">
        <w:rPr>
          <w:sz w:val="24"/>
          <w:szCs w:val="24"/>
          <w:lang w:val="en-US"/>
        </w:rPr>
        <w:t>post-approval changes</w:t>
      </w:r>
      <w:r w:rsidR="00233662">
        <w:rPr>
          <w:sz w:val="24"/>
          <w:szCs w:val="24"/>
          <w:lang w:val="en-US"/>
        </w:rPr>
        <w:t xml:space="preserve"> where the manufacturer </w:t>
      </w:r>
      <w:proofErr w:type="gramStart"/>
      <w:r w:rsidR="00233662">
        <w:rPr>
          <w:sz w:val="24"/>
          <w:szCs w:val="24"/>
          <w:lang w:val="en-US"/>
        </w:rPr>
        <w:t>has to</w:t>
      </w:r>
      <w:proofErr w:type="gramEnd"/>
      <w:r w:rsidR="00233662">
        <w:rPr>
          <w:sz w:val="24"/>
          <w:szCs w:val="24"/>
          <w:lang w:val="en-US"/>
        </w:rPr>
        <w:t xml:space="preserve"> demonstrate that the quality of the product is not affected by the change</w:t>
      </w:r>
      <w:r w:rsidR="00810966">
        <w:rPr>
          <w:sz w:val="24"/>
          <w:szCs w:val="24"/>
          <w:lang w:val="en-US"/>
        </w:rPr>
        <w:t>.</w:t>
      </w:r>
      <w:r w:rsidR="00810966" w:rsidRPr="00810966">
        <w:rPr>
          <w:sz w:val="24"/>
          <w:szCs w:val="24"/>
          <w:lang w:val="en-US"/>
        </w:rPr>
        <w:t xml:space="preserve"> </w:t>
      </w:r>
      <w:r w:rsidR="00512889">
        <w:rPr>
          <w:sz w:val="24"/>
          <w:szCs w:val="24"/>
          <w:lang w:val="en-US"/>
        </w:rPr>
        <w:t>A d</w:t>
      </w:r>
      <w:r w:rsidR="00810966">
        <w:rPr>
          <w:sz w:val="24"/>
          <w:szCs w:val="24"/>
          <w:lang w:val="en-US"/>
        </w:rPr>
        <w:t xml:space="preserve">issolution profile comparison yields a </w:t>
      </w:r>
      <w:r w:rsidR="00BC52C5">
        <w:rPr>
          <w:sz w:val="24"/>
          <w:szCs w:val="24"/>
          <w:lang w:val="en-US"/>
        </w:rPr>
        <w:t xml:space="preserve">two-sample (reference versus test product) </w:t>
      </w:r>
      <w:r w:rsidR="00810966">
        <w:rPr>
          <w:sz w:val="24"/>
          <w:szCs w:val="24"/>
          <w:lang w:val="en-US"/>
        </w:rPr>
        <w:t xml:space="preserve">multivariate equivalence testing problem. </w:t>
      </w:r>
    </w:p>
    <w:p w14:paraId="09DBA2B0" w14:textId="04A7C716" w:rsidR="009C7D9C" w:rsidRDefault="009F7D62" w:rsidP="009F7D62">
      <w:pPr>
        <w:spacing w:after="30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current situation: </w:t>
      </w:r>
      <w:r w:rsidR="00BC52C5">
        <w:rPr>
          <w:sz w:val="24"/>
          <w:szCs w:val="24"/>
          <w:lang w:val="en-US"/>
        </w:rPr>
        <w:t xml:space="preserve">The so-called similarity factor f2, recommended in all guidelines on dissolution profile comparisons, is a series of monotone (and statistically useless) transformations of the Euclidean distance between </w:t>
      </w:r>
      <w:r w:rsidR="00EF31A9">
        <w:rPr>
          <w:sz w:val="24"/>
          <w:szCs w:val="24"/>
          <w:lang w:val="en-US"/>
        </w:rPr>
        <w:t>reference and test mean profiles</w:t>
      </w:r>
      <w:r w:rsidR="00BC52C5">
        <w:rPr>
          <w:sz w:val="24"/>
          <w:szCs w:val="24"/>
          <w:lang w:val="en-US"/>
        </w:rPr>
        <w:t xml:space="preserve">. It is a point estimate which does not allow Type I Error </w:t>
      </w:r>
      <w:r w:rsidR="003F2659">
        <w:rPr>
          <w:sz w:val="24"/>
          <w:szCs w:val="24"/>
          <w:lang w:val="en-US"/>
        </w:rPr>
        <w:t xml:space="preserve">(T1E) </w:t>
      </w:r>
      <w:r w:rsidR="00BC52C5">
        <w:rPr>
          <w:sz w:val="24"/>
          <w:szCs w:val="24"/>
          <w:lang w:val="en-US"/>
        </w:rPr>
        <w:t xml:space="preserve">control. A decision based on f2 is only </w:t>
      </w:r>
      <w:r w:rsidR="00634CE2">
        <w:rPr>
          <w:sz w:val="24"/>
          <w:szCs w:val="24"/>
          <w:lang w:val="en-US"/>
        </w:rPr>
        <w:t>acceptable from regulatory perspective</w:t>
      </w:r>
      <w:r w:rsidR="00BC52C5">
        <w:rPr>
          <w:sz w:val="24"/>
          <w:szCs w:val="24"/>
          <w:lang w:val="en-US"/>
        </w:rPr>
        <w:t xml:space="preserve"> </w:t>
      </w:r>
      <w:r w:rsidR="00634CE2">
        <w:rPr>
          <w:sz w:val="24"/>
          <w:szCs w:val="24"/>
          <w:lang w:val="en-US"/>
        </w:rPr>
        <w:t>if</w:t>
      </w:r>
      <w:r w:rsidR="00BC52C5">
        <w:rPr>
          <w:sz w:val="24"/>
          <w:szCs w:val="24"/>
          <w:lang w:val="en-US"/>
        </w:rPr>
        <w:t xml:space="preserve"> the variability is below some (guideline dependent) thresholds</w:t>
      </w:r>
      <w:r w:rsidR="00634CE2">
        <w:rPr>
          <w:sz w:val="24"/>
          <w:szCs w:val="24"/>
          <w:lang w:val="en-US"/>
        </w:rPr>
        <w:t xml:space="preserve"> for all dissolution time points</w:t>
      </w:r>
      <w:r w:rsidR="00BC52C5">
        <w:rPr>
          <w:sz w:val="24"/>
          <w:szCs w:val="24"/>
          <w:lang w:val="en-US"/>
        </w:rPr>
        <w:t xml:space="preserve">. </w:t>
      </w:r>
      <w:r w:rsidR="00EF31A9">
        <w:rPr>
          <w:sz w:val="24"/>
          <w:szCs w:val="24"/>
          <w:lang w:val="en-US"/>
        </w:rPr>
        <w:t xml:space="preserve">For “highly variable” profiles, a regulatory gold standard for equivalence analyses is missing. </w:t>
      </w:r>
    </w:p>
    <w:p w14:paraId="1FD72D60" w14:textId="4F73DCD6" w:rsidR="00821C9B" w:rsidRDefault="003F2659" w:rsidP="009F7D62">
      <w:pPr>
        <w:spacing w:after="30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Some </w:t>
      </w:r>
      <w:proofErr w:type="spellStart"/>
      <w:r>
        <w:rPr>
          <w:sz w:val="24"/>
          <w:szCs w:val="24"/>
          <w:lang w:val="en-US"/>
        </w:rPr>
        <w:t>guidances</w:t>
      </w:r>
      <w:proofErr w:type="spellEnd"/>
      <w:r>
        <w:rPr>
          <w:sz w:val="24"/>
          <w:szCs w:val="24"/>
          <w:lang w:val="en-US"/>
        </w:rPr>
        <w:t xml:space="preserve"> and the original publication of f2 date from the </w:t>
      </w:r>
      <w:r w:rsidRPr="003F2659">
        <w:rPr>
          <w:sz w:val="24"/>
          <w:szCs w:val="24"/>
          <w:lang w:val="en-US"/>
        </w:rPr>
        <w:t>mid-1990s</w:t>
      </w:r>
      <w:r>
        <w:rPr>
          <w:sz w:val="24"/>
          <w:szCs w:val="24"/>
          <w:lang w:val="en-US"/>
        </w:rPr>
        <w:t>, from a time when very few knowledge about multivariate equivalence tests was available. This has now changed. A scientific and statistical update of the dissolution profile topic is necessary lead</w:t>
      </w:r>
      <w:r w:rsidR="007F75DB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to</w:t>
      </w:r>
    </w:p>
    <w:p w14:paraId="6ADF3BBE" w14:textId="67C2BB71" w:rsidR="003F2659" w:rsidRDefault="003F2659" w:rsidP="009F7D62">
      <w:pPr>
        <w:pStyle w:val="Listenabsatz"/>
        <w:numPr>
          <w:ilvl w:val="0"/>
          <w:numId w:val="18"/>
        </w:numPr>
        <w:spacing w:after="30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Improved T1E control in decision making by means of the use of available multivariate equivalence tests instead of f2</w:t>
      </w:r>
      <w:r w:rsidR="007F75DB">
        <w:rPr>
          <w:sz w:val="24"/>
          <w:szCs w:val="24"/>
          <w:lang w:val="en-US"/>
        </w:rPr>
        <w:t>,</w:t>
      </w:r>
    </w:p>
    <w:p w14:paraId="1B7D4EF4" w14:textId="463A7D7A" w:rsidR="003F2659" w:rsidRDefault="003F2659" w:rsidP="009F7D62">
      <w:pPr>
        <w:pStyle w:val="Listenabsatz"/>
        <w:numPr>
          <w:ilvl w:val="0"/>
          <w:numId w:val="18"/>
        </w:numPr>
        <w:spacing w:after="30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Increased power by means of an appropriate design and planning of dissolution profile studies</w:t>
      </w:r>
      <w:r w:rsidR="007F75DB">
        <w:rPr>
          <w:sz w:val="24"/>
          <w:szCs w:val="24"/>
          <w:lang w:val="en-US"/>
        </w:rPr>
        <w:t xml:space="preserve"> (including sample size calculations, among others), </w:t>
      </w:r>
    </w:p>
    <w:p w14:paraId="0E86B09B" w14:textId="71DC3977" w:rsidR="007F75DB" w:rsidRPr="003F2659" w:rsidRDefault="007F75DB" w:rsidP="009F7D62">
      <w:pPr>
        <w:pStyle w:val="Listenabsatz"/>
        <w:numPr>
          <w:ilvl w:val="0"/>
          <w:numId w:val="18"/>
        </w:numPr>
        <w:spacing w:after="30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International harmonization.</w:t>
      </w:r>
    </w:p>
    <w:p w14:paraId="6CADF7B4" w14:textId="52B5B280" w:rsidR="00EB5155" w:rsidRDefault="007F75DB" w:rsidP="009F7D62">
      <w:pPr>
        <w:spacing w:after="30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Follow-up working groups from the</w:t>
      </w:r>
      <w:r w:rsidR="00EB5155" w:rsidRPr="00EB515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dissolution profile similarity </w:t>
      </w:r>
      <w:r w:rsidR="00EB5155" w:rsidRPr="00EB5155">
        <w:rPr>
          <w:sz w:val="24"/>
          <w:szCs w:val="24"/>
          <w:lang w:val="en-US"/>
        </w:rPr>
        <w:t xml:space="preserve">workshop held </w:t>
      </w:r>
      <w:r w:rsidR="004C77F5">
        <w:rPr>
          <w:sz w:val="24"/>
          <w:szCs w:val="24"/>
          <w:lang w:val="en-US"/>
        </w:rPr>
        <w:t>i</w:t>
      </w:r>
      <w:r w:rsidR="00EB5155" w:rsidRPr="00EB5155">
        <w:rPr>
          <w:sz w:val="24"/>
          <w:szCs w:val="24"/>
          <w:lang w:val="en-US"/>
        </w:rPr>
        <w:t xml:space="preserve">n </w:t>
      </w:r>
      <w:r>
        <w:rPr>
          <w:sz w:val="24"/>
          <w:szCs w:val="24"/>
          <w:lang w:val="en-US"/>
        </w:rPr>
        <w:t xml:space="preserve">May </w:t>
      </w:r>
      <w:r w:rsidR="00EB5155" w:rsidRPr="00EB5155">
        <w:rPr>
          <w:sz w:val="24"/>
          <w:szCs w:val="24"/>
          <w:lang w:val="en-US"/>
        </w:rPr>
        <w:t>2019</w:t>
      </w:r>
      <w:r>
        <w:rPr>
          <w:sz w:val="24"/>
          <w:szCs w:val="24"/>
          <w:lang w:val="en-US"/>
        </w:rPr>
        <w:t xml:space="preserve"> in </w:t>
      </w:r>
      <w:r w:rsidR="00EB5155" w:rsidRPr="00EB5155">
        <w:rPr>
          <w:sz w:val="24"/>
          <w:szCs w:val="24"/>
          <w:lang w:val="en-US"/>
        </w:rPr>
        <w:t>Baltimore</w:t>
      </w:r>
      <w:r>
        <w:rPr>
          <w:sz w:val="24"/>
          <w:szCs w:val="24"/>
          <w:lang w:val="en-US"/>
        </w:rPr>
        <w:t xml:space="preserve"> </w:t>
      </w:r>
      <w:r w:rsidR="004C77F5">
        <w:rPr>
          <w:sz w:val="24"/>
          <w:szCs w:val="24"/>
          <w:lang w:val="en-US"/>
        </w:rPr>
        <w:t>addressed some challenges around the dissolution profile topic. One summary paper</w:t>
      </w:r>
      <w:r w:rsidR="004058C5">
        <w:rPr>
          <w:sz w:val="24"/>
          <w:szCs w:val="24"/>
          <w:lang w:val="en-US"/>
        </w:rPr>
        <w:t xml:space="preserve"> (AAPS Journal)</w:t>
      </w:r>
      <w:r w:rsidR="004C77F5">
        <w:rPr>
          <w:sz w:val="24"/>
          <w:szCs w:val="24"/>
          <w:lang w:val="en-US"/>
        </w:rPr>
        <w:t xml:space="preserve"> explains the properties of various multivariate equivalence tests tailored to dissolution profiles and suggests as a result a decision tree for the selection of an appropriate statistical method </w:t>
      </w:r>
      <w:r w:rsidR="00446E24">
        <w:rPr>
          <w:sz w:val="24"/>
          <w:szCs w:val="24"/>
          <w:lang w:val="en-US"/>
        </w:rPr>
        <w:t xml:space="preserve">depending on product characteristics. </w:t>
      </w:r>
    </w:p>
    <w:p w14:paraId="46FA33B1" w14:textId="286BE8AC" w:rsidR="00196FB3" w:rsidRDefault="00446E24" w:rsidP="009F7D62">
      <w:pPr>
        <w:spacing w:after="30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NCS</w:t>
      </w:r>
      <w:r w:rsidR="009F7D62">
        <w:rPr>
          <w:sz w:val="24"/>
          <w:szCs w:val="24"/>
          <w:lang w:val="en-US"/>
        </w:rPr>
        <w:t xml:space="preserve"> </w:t>
      </w:r>
      <w:r w:rsidR="004058C5">
        <w:rPr>
          <w:sz w:val="24"/>
          <w:szCs w:val="24"/>
          <w:lang w:val="en-US"/>
        </w:rPr>
        <w:t xml:space="preserve">workshop </w:t>
      </w:r>
      <w:r>
        <w:rPr>
          <w:sz w:val="24"/>
          <w:szCs w:val="24"/>
          <w:lang w:val="en-US"/>
        </w:rPr>
        <w:t xml:space="preserve">talk will present and explain the </w:t>
      </w:r>
      <w:proofErr w:type="gramStart"/>
      <w:r>
        <w:rPr>
          <w:sz w:val="24"/>
          <w:szCs w:val="24"/>
          <w:lang w:val="en-US"/>
        </w:rPr>
        <w:t>above mentioned</w:t>
      </w:r>
      <w:proofErr w:type="gramEnd"/>
      <w:r>
        <w:rPr>
          <w:sz w:val="24"/>
          <w:szCs w:val="24"/>
          <w:lang w:val="en-US"/>
        </w:rPr>
        <w:t xml:space="preserve"> decision tree. The second part will address the design of dissolution profile studies including a conclusion on how to evaluate profile data </w:t>
      </w:r>
      <w:r w:rsidR="009F7D62">
        <w:rPr>
          <w:sz w:val="24"/>
          <w:szCs w:val="24"/>
          <w:lang w:val="en-US"/>
        </w:rPr>
        <w:t xml:space="preserve">obtained </w:t>
      </w:r>
      <w:r>
        <w:rPr>
          <w:sz w:val="24"/>
          <w:szCs w:val="24"/>
          <w:lang w:val="en-US"/>
        </w:rPr>
        <w:t>from several batches per reference and/or test product.</w:t>
      </w:r>
    </w:p>
    <w:sectPr w:rsidR="00196FB3" w:rsidSect="001E64BE">
      <w:pgSz w:w="12242" w:h="15842" w:code="29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DA8"/>
    <w:multiLevelType w:val="hybridMultilevel"/>
    <w:tmpl w:val="D4CAF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1F6"/>
    <w:multiLevelType w:val="hybridMultilevel"/>
    <w:tmpl w:val="97AE9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54B"/>
    <w:multiLevelType w:val="hybridMultilevel"/>
    <w:tmpl w:val="626C681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38F1"/>
    <w:multiLevelType w:val="hybridMultilevel"/>
    <w:tmpl w:val="5EE292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012D"/>
    <w:multiLevelType w:val="hybridMultilevel"/>
    <w:tmpl w:val="70FE47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96490"/>
    <w:multiLevelType w:val="hybridMultilevel"/>
    <w:tmpl w:val="C9D68B08"/>
    <w:lvl w:ilvl="0" w:tplc="FE9AF8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5613F"/>
    <w:multiLevelType w:val="hybridMultilevel"/>
    <w:tmpl w:val="ACFCB7C0"/>
    <w:lvl w:ilvl="0" w:tplc="37DA08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86F27"/>
    <w:multiLevelType w:val="hybridMultilevel"/>
    <w:tmpl w:val="D70A4DD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0723"/>
    <w:multiLevelType w:val="hybridMultilevel"/>
    <w:tmpl w:val="4B5EA2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87CD3"/>
    <w:multiLevelType w:val="hybridMultilevel"/>
    <w:tmpl w:val="DAF442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A3CD6"/>
    <w:multiLevelType w:val="hybridMultilevel"/>
    <w:tmpl w:val="1C184C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438AE"/>
    <w:multiLevelType w:val="hybridMultilevel"/>
    <w:tmpl w:val="77BE3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0598E"/>
    <w:multiLevelType w:val="hybridMultilevel"/>
    <w:tmpl w:val="F95A90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215EA"/>
    <w:multiLevelType w:val="hybridMultilevel"/>
    <w:tmpl w:val="C58299A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B27E7"/>
    <w:multiLevelType w:val="hybridMultilevel"/>
    <w:tmpl w:val="26EEEE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13FD"/>
    <w:multiLevelType w:val="hybridMultilevel"/>
    <w:tmpl w:val="2DB290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F5F3A"/>
    <w:multiLevelType w:val="hybridMultilevel"/>
    <w:tmpl w:val="0F406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D5441"/>
    <w:multiLevelType w:val="hybridMultilevel"/>
    <w:tmpl w:val="151AF0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16"/>
  </w:num>
  <w:num w:numId="9">
    <w:abstractNumId w:val="14"/>
  </w:num>
  <w:num w:numId="10">
    <w:abstractNumId w:val="15"/>
  </w:num>
  <w:num w:numId="11">
    <w:abstractNumId w:val="6"/>
  </w:num>
  <w:num w:numId="12">
    <w:abstractNumId w:val="13"/>
  </w:num>
  <w:num w:numId="13">
    <w:abstractNumId w:val="17"/>
  </w:num>
  <w:num w:numId="14">
    <w:abstractNumId w:val="11"/>
  </w:num>
  <w:num w:numId="15">
    <w:abstractNumId w:val="9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51C"/>
    <w:rsid w:val="00003899"/>
    <w:rsid w:val="00004670"/>
    <w:rsid w:val="0001138D"/>
    <w:rsid w:val="00015C34"/>
    <w:rsid w:val="00017836"/>
    <w:rsid w:val="00017B24"/>
    <w:rsid w:val="00020878"/>
    <w:rsid w:val="00021C9E"/>
    <w:rsid w:val="00023227"/>
    <w:rsid w:val="00023506"/>
    <w:rsid w:val="00023760"/>
    <w:rsid w:val="00024EBD"/>
    <w:rsid w:val="0002768D"/>
    <w:rsid w:val="0003592E"/>
    <w:rsid w:val="00040B46"/>
    <w:rsid w:val="00042805"/>
    <w:rsid w:val="000537C7"/>
    <w:rsid w:val="0005588A"/>
    <w:rsid w:val="00057543"/>
    <w:rsid w:val="00060921"/>
    <w:rsid w:val="0006095C"/>
    <w:rsid w:val="0006114A"/>
    <w:rsid w:val="00072AC5"/>
    <w:rsid w:val="000732BF"/>
    <w:rsid w:val="00081B58"/>
    <w:rsid w:val="000823C8"/>
    <w:rsid w:val="00091A0F"/>
    <w:rsid w:val="00091B79"/>
    <w:rsid w:val="00097CFC"/>
    <w:rsid w:val="000A1D1F"/>
    <w:rsid w:val="000A1E91"/>
    <w:rsid w:val="000A5151"/>
    <w:rsid w:val="000A72A2"/>
    <w:rsid w:val="000B0FA6"/>
    <w:rsid w:val="000B45FC"/>
    <w:rsid w:val="000B4D3E"/>
    <w:rsid w:val="000B5916"/>
    <w:rsid w:val="000C3E71"/>
    <w:rsid w:val="000C4B8D"/>
    <w:rsid w:val="000C6AF9"/>
    <w:rsid w:val="000D2B0A"/>
    <w:rsid w:val="000D454B"/>
    <w:rsid w:val="000D6BBC"/>
    <w:rsid w:val="000E0CFF"/>
    <w:rsid w:val="000E29A5"/>
    <w:rsid w:val="000F5380"/>
    <w:rsid w:val="00105C22"/>
    <w:rsid w:val="00106683"/>
    <w:rsid w:val="0011191B"/>
    <w:rsid w:val="001126F9"/>
    <w:rsid w:val="00113A0A"/>
    <w:rsid w:val="00117DD9"/>
    <w:rsid w:val="001236CD"/>
    <w:rsid w:val="00123D16"/>
    <w:rsid w:val="001261B8"/>
    <w:rsid w:val="00126778"/>
    <w:rsid w:val="00126BD2"/>
    <w:rsid w:val="00135968"/>
    <w:rsid w:val="0013772E"/>
    <w:rsid w:val="00140F93"/>
    <w:rsid w:val="0015001B"/>
    <w:rsid w:val="00150FB7"/>
    <w:rsid w:val="0015108E"/>
    <w:rsid w:val="00151E15"/>
    <w:rsid w:val="001524DB"/>
    <w:rsid w:val="00162E61"/>
    <w:rsid w:val="001644FF"/>
    <w:rsid w:val="001676B2"/>
    <w:rsid w:val="001703B5"/>
    <w:rsid w:val="001705D1"/>
    <w:rsid w:val="00173197"/>
    <w:rsid w:val="00174015"/>
    <w:rsid w:val="00175210"/>
    <w:rsid w:val="00175953"/>
    <w:rsid w:val="001825CE"/>
    <w:rsid w:val="001837DC"/>
    <w:rsid w:val="00184887"/>
    <w:rsid w:val="00186E9E"/>
    <w:rsid w:val="00186EAF"/>
    <w:rsid w:val="00187A99"/>
    <w:rsid w:val="00187AEC"/>
    <w:rsid w:val="0019060E"/>
    <w:rsid w:val="00191A6C"/>
    <w:rsid w:val="00193142"/>
    <w:rsid w:val="00195F3F"/>
    <w:rsid w:val="00196FB3"/>
    <w:rsid w:val="001A4659"/>
    <w:rsid w:val="001B0361"/>
    <w:rsid w:val="001B0750"/>
    <w:rsid w:val="001B304D"/>
    <w:rsid w:val="001B529F"/>
    <w:rsid w:val="001B6076"/>
    <w:rsid w:val="001C14B8"/>
    <w:rsid w:val="001C3FD3"/>
    <w:rsid w:val="001C5636"/>
    <w:rsid w:val="001C5827"/>
    <w:rsid w:val="001C6062"/>
    <w:rsid w:val="001D08BB"/>
    <w:rsid w:val="001D0C87"/>
    <w:rsid w:val="001D229C"/>
    <w:rsid w:val="001D7AF1"/>
    <w:rsid w:val="001E12E0"/>
    <w:rsid w:val="001E64BE"/>
    <w:rsid w:val="001F02DA"/>
    <w:rsid w:val="001F0321"/>
    <w:rsid w:val="001F11BB"/>
    <w:rsid w:val="001F278C"/>
    <w:rsid w:val="001F369C"/>
    <w:rsid w:val="001F4442"/>
    <w:rsid w:val="001F653D"/>
    <w:rsid w:val="0020086F"/>
    <w:rsid w:val="002027E4"/>
    <w:rsid w:val="00202F21"/>
    <w:rsid w:val="002042BF"/>
    <w:rsid w:val="002074AC"/>
    <w:rsid w:val="00210E1B"/>
    <w:rsid w:val="00216A88"/>
    <w:rsid w:val="0022358F"/>
    <w:rsid w:val="002247F5"/>
    <w:rsid w:val="00226248"/>
    <w:rsid w:val="00226F4F"/>
    <w:rsid w:val="00233406"/>
    <w:rsid w:val="00233662"/>
    <w:rsid w:val="002366F5"/>
    <w:rsid w:val="00240472"/>
    <w:rsid w:val="00242F28"/>
    <w:rsid w:val="002434E1"/>
    <w:rsid w:val="002457B7"/>
    <w:rsid w:val="00257B04"/>
    <w:rsid w:val="00264790"/>
    <w:rsid w:val="002661AF"/>
    <w:rsid w:val="00266FB5"/>
    <w:rsid w:val="00272ACD"/>
    <w:rsid w:val="00273BD3"/>
    <w:rsid w:val="00275C2B"/>
    <w:rsid w:val="00275F51"/>
    <w:rsid w:val="0027719A"/>
    <w:rsid w:val="0028125B"/>
    <w:rsid w:val="00282629"/>
    <w:rsid w:val="002827A3"/>
    <w:rsid w:val="00290326"/>
    <w:rsid w:val="00297BD2"/>
    <w:rsid w:val="002A10F5"/>
    <w:rsid w:val="002A175E"/>
    <w:rsid w:val="002A1934"/>
    <w:rsid w:val="002A2F53"/>
    <w:rsid w:val="002A3CB9"/>
    <w:rsid w:val="002A40DA"/>
    <w:rsid w:val="002A4459"/>
    <w:rsid w:val="002A588C"/>
    <w:rsid w:val="002A7EDC"/>
    <w:rsid w:val="002B0560"/>
    <w:rsid w:val="002B3587"/>
    <w:rsid w:val="002C0CE8"/>
    <w:rsid w:val="002C1B8E"/>
    <w:rsid w:val="002C2EA7"/>
    <w:rsid w:val="002C4EC5"/>
    <w:rsid w:val="002C50CA"/>
    <w:rsid w:val="002E1AF5"/>
    <w:rsid w:val="002E329A"/>
    <w:rsid w:val="002E3EB6"/>
    <w:rsid w:val="002F6FD1"/>
    <w:rsid w:val="002F71DA"/>
    <w:rsid w:val="00312813"/>
    <w:rsid w:val="0031306A"/>
    <w:rsid w:val="00315639"/>
    <w:rsid w:val="00316C67"/>
    <w:rsid w:val="003203ED"/>
    <w:rsid w:val="003238B4"/>
    <w:rsid w:val="00327F41"/>
    <w:rsid w:val="0033015C"/>
    <w:rsid w:val="003303C8"/>
    <w:rsid w:val="00332461"/>
    <w:rsid w:val="0033530E"/>
    <w:rsid w:val="00336AE3"/>
    <w:rsid w:val="00342B58"/>
    <w:rsid w:val="00343666"/>
    <w:rsid w:val="00346A6D"/>
    <w:rsid w:val="00350EC7"/>
    <w:rsid w:val="00351A2A"/>
    <w:rsid w:val="00352848"/>
    <w:rsid w:val="00356F0C"/>
    <w:rsid w:val="0036397D"/>
    <w:rsid w:val="00365944"/>
    <w:rsid w:val="003703C6"/>
    <w:rsid w:val="00373C44"/>
    <w:rsid w:val="00376B4B"/>
    <w:rsid w:val="00383363"/>
    <w:rsid w:val="00383A68"/>
    <w:rsid w:val="00384065"/>
    <w:rsid w:val="0038413A"/>
    <w:rsid w:val="003877BE"/>
    <w:rsid w:val="00390F3A"/>
    <w:rsid w:val="00394561"/>
    <w:rsid w:val="003A0AF8"/>
    <w:rsid w:val="003A751C"/>
    <w:rsid w:val="003A7B1C"/>
    <w:rsid w:val="003B4624"/>
    <w:rsid w:val="003B4E2B"/>
    <w:rsid w:val="003B5D24"/>
    <w:rsid w:val="003B76AA"/>
    <w:rsid w:val="003C0401"/>
    <w:rsid w:val="003C2755"/>
    <w:rsid w:val="003C39F6"/>
    <w:rsid w:val="003C494A"/>
    <w:rsid w:val="003D3763"/>
    <w:rsid w:val="003D513A"/>
    <w:rsid w:val="003E1FA9"/>
    <w:rsid w:val="003E4BC3"/>
    <w:rsid w:val="003F0355"/>
    <w:rsid w:val="003F054D"/>
    <w:rsid w:val="003F2659"/>
    <w:rsid w:val="00402C0E"/>
    <w:rsid w:val="004058C5"/>
    <w:rsid w:val="00405C61"/>
    <w:rsid w:val="00407A81"/>
    <w:rsid w:val="00407F20"/>
    <w:rsid w:val="00410FDF"/>
    <w:rsid w:val="0041125F"/>
    <w:rsid w:val="004134E5"/>
    <w:rsid w:val="00413EBA"/>
    <w:rsid w:val="00416712"/>
    <w:rsid w:val="0042560D"/>
    <w:rsid w:val="00426F7A"/>
    <w:rsid w:val="004279E8"/>
    <w:rsid w:val="00432276"/>
    <w:rsid w:val="00432D5F"/>
    <w:rsid w:val="004341C0"/>
    <w:rsid w:val="00434511"/>
    <w:rsid w:val="00435385"/>
    <w:rsid w:val="00436967"/>
    <w:rsid w:val="004379FB"/>
    <w:rsid w:val="00437BCF"/>
    <w:rsid w:val="0044229B"/>
    <w:rsid w:val="00442D5E"/>
    <w:rsid w:val="00443666"/>
    <w:rsid w:val="00446C81"/>
    <w:rsid w:val="00446E24"/>
    <w:rsid w:val="004478BC"/>
    <w:rsid w:val="004511AE"/>
    <w:rsid w:val="00452EE5"/>
    <w:rsid w:val="00454AAE"/>
    <w:rsid w:val="0045725E"/>
    <w:rsid w:val="004629F8"/>
    <w:rsid w:val="00463D02"/>
    <w:rsid w:val="00470B19"/>
    <w:rsid w:val="0048018A"/>
    <w:rsid w:val="0048023A"/>
    <w:rsid w:val="00480642"/>
    <w:rsid w:val="00480787"/>
    <w:rsid w:val="004855D7"/>
    <w:rsid w:val="00487AA5"/>
    <w:rsid w:val="0049094F"/>
    <w:rsid w:val="00490C93"/>
    <w:rsid w:val="00491596"/>
    <w:rsid w:val="00494111"/>
    <w:rsid w:val="004961C1"/>
    <w:rsid w:val="004963C6"/>
    <w:rsid w:val="004A26CA"/>
    <w:rsid w:val="004A5DE3"/>
    <w:rsid w:val="004B0991"/>
    <w:rsid w:val="004B1884"/>
    <w:rsid w:val="004B198B"/>
    <w:rsid w:val="004B2439"/>
    <w:rsid w:val="004B4A90"/>
    <w:rsid w:val="004B6373"/>
    <w:rsid w:val="004C2AB3"/>
    <w:rsid w:val="004C2ACB"/>
    <w:rsid w:val="004C77F5"/>
    <w:rsid w:val="004D2486"/>
    <w:rsid w:val="004D3363"/>
    <w:rsid w:val="004E2B2C"/>
    <w:rsid w:val="004E5B84"/>
    <w:rsid w:val="004E6E73"/>
    <w:rsid w:val="004E77C3"/>
    <w:rsid w:val="004E7D00"/>
    <w:rsid w:val="004F414B"/>
    <w:rsid w:val="004F5C92"/>
    <w:rsid w:val="00507BC3"/>
    <w:rsid w:val="00510A0C"/>
    <w:rsid w:val="00511005"/>
    <w:rsid w:val="00512889"/>
    <w:rsid w:val="00513D7C"/>
    <w:rsid w:val="00524864"/>
    <w:rsid w:val="00526A61"/>
    <w:rsid w:val="00527F7E"/>
    <w:rsid w:val="005305D7"/>
    <w:rsid w:val="00532419"/>
    <w:rsid w:val="0053487B"/>
    <w:rsid w:val="00537897"/>
    <w:rsid w:val="00541B7F"/>
    <w:rsid w:val="005432F5"/>
    <w:rsid w:val="0054368E"/>
    <w:rsid w:val="005454E8"/>
    <w:rsid w:val="00545F7A"/>
    <w:rsid w:val="005515AF"/>
    <w:rsid w:val="00551AE6"/>
    <w:rsid w:val="00560EFA"/>
    <w:rsid w:val="005655A0"/>
    <w:rsid w:val="005703E9"/>
    <w:rsid w:val="00571012"/>
    <w:rsid w:val="005715A0"/>
    <w:rsid w:val="00574146"/>
    <w:rsid w:val="00574690"/>
    <w:rsid w:val="00580646"/>
    <w:rsid w:val="005839B6"/>
    <w:rsid w:val="00591A02"/>
    <w:rsid w:val="00592039"/>
    <w:rsid w:val="0059278A"/>
    <w:rsid w:val="00593AF1"/>
    <w:rsid w:val="00595E4E"/>
    <w:rsid w:val="005A3D8B"/>
    <w:rsid w:val="005A55B8"/>
    <w:rsid w:val="005A61DE"/>
    <w:rsid w:val="005B590A"/>
    <w:rsid w:val="005B649F"/>
    <w:rsid w:val="005C0693"/>
    <w:rsid w:val="005C254F"/>
    <w:rsid w:val="005C4B01"/>
    <w:rsid w:val="005C7F8F"/>
    <w:rsid w:val="005D22E0"/>
    <w:rsid w:val="005E466E"/>
    <w:rsid w:val="005E7BC3"/>
    <w:rsid w:val="005F0EC3"/>
    <w:rsid w:val="005F1368"/>
    <w:rsid w:val="005F6173"/>
    <w:rsid w:val="006003B1"/>
    <w:rsid w:val="0060402B"/>
    <w:rsid w:val="006041AE"/>
    <w:rsid w:val="0060425E"/>
    <w:rsid w:val="00614BFE"/>
    <w:rsid w:val="006170EF"/>
    <w:rsid w:val="00622C1A"/>
    <w:rsid w:val="006301C0"/>
    <w:rsid w:val="0063358E"/>
    <w:rsid w:val="00634CE2"/>
    <w:rsid w:val="00641636"/>
    <w:rsid w:val="006435CC"/>
    <w:rsid w:val="00644DD7"/>
    <w:rsid w:val="00654921"/>
    <w:rsid w:val="00661EA6"/>
    <w:rsid w:val="0066298A"/>
    <w:rsid w:val="0066383E"/>
    <w:rsid w:val="00664966"/>
    <w:rsid w:val="00665169"/>
    <w:rsid w:val="00667D0B"/>
    <w:rsid w:val="006708F6"/>
    <w:rsid w:val="00672309"/>
    <w:rsid w:val="00683431"/>
    <w:rsid w:val="0068542E"/>
    <w:rsid w:val="00686938"/>
    <w:rsid w:val="00690572"/>
    <w:rsid w:val="00693008"/>
    <w:rsid w:val="006946EF"/>
    <w:rsid w:val="006A0A06"/>
    <w:rsid w:val="006A2015"/>
    <w:rsid w:val="006A26DE"/>
    <w:rsid w:val="006A44EA"/>
    <w:rsid w:val="006A4B3F"/>
    <w:rsid w:val="006A54F9"/>
    <w:rsid w:val="006A6093"/>
    <w:rsid w:val="006B08B8"/>
    <w:rsid w:val="006B2164"/>
    <w:rsid w:val="006B56C9"/>
    <w:rsid w:val="006B704C"/>
    <w:rsid w:val="006C102F"/>
    <w:rsid w:val="006C1452"/>
    <w:rsid w:val="006C351E"/>
    <w:rsid w:val="006C48F6"/>
    <w:rsid w:val="006C63B2"/>
    <w:rsid w:val="006D2D12"/>
    <w:rsid w:val="006E1899"/>
    <w:rsid w:val="006E1F64"/>
    <w:rsid w:val="006E3028"/>
    <w:rsid w:val="006E45BB"/>
    <w:rsid w:val="006E592B"/>
    <w:rsid w:val="006F7E17"/>
    <w:rsid w:val="00700A29"/>
    <w:rsid w:val="00702823"/>
    <w:rsid w:val="007105EF"/>
    <w:rsid w:val="007120C0"/>
    <w:rsid w:val="00722DB9"/>
    <w:rsid w:val="007242E6"/>
    <w:rsid w:val="007267C3"/>
    <w:rsid w:val="00731D1C"/>
    <w:rsid w:val="007328F6"/>
    <w:rsid w:val="00735144"/>
    <w:rsid w:val="0073784E"/>
    <w:rsid w:val="007452B0"/>
    <w:rsid w:val="007461D0"/>
    <w:rsid w:val="007527C6"/>
    <w:rsid w:val="00752933"/>
    <w:rsid w:val="007604AA"/>
    <w:rsid w:val="00764D95"/>
    <w:rsid w:val="00767CE5"/>
    <w:rsid w:val="007716F7"/>
    <w:rsid w:val="00773920"/>
    <w:rsid w:val="00775DA0"/>
    <w:rsid w:val="00776B11"/>
    <w:rsid w:val="007778A9"/>
    <w:rsid w:val="00777B5F"/>
    <w:rsid w:val="0078064A"/>
    <w:rsid w:val="007949FC"/>
    <w:rsid w:val="00797E60"/>
    <w:rsid w:val="007A0E7D"/>
    <w:rsid w:val="007A356C"/>
    <w:rsid w:val="007B099F"/>
    <w:rsid w:val="007B0ACB"/>
    <w:rsid w:val="007B2B31"/>
    <w:rsid w:val="007B381A"/>
    <w:rsid w:val="007B44D4"/>
    <w:rsid w:val="007B53BF"/>
    <w:rsid w:val="007C37B2"/>
    <w:rsid w:val="007C43BE"/>
    <w:rsid w:val="007C7BDC"/>
    <w:rsid w:val="007D0B30"/>
    <w:rsid w:val="007D1770"/>
    <w:rsid w:val="007D19F1"/>
    <w:rsid w:val="007D3F49"/>
    <w:rsid w:val="007E448F"/>
    <w:rsid w:val="007E4C6C"/>
    <w:rsid w:val="007E4D4E"/>
    <w:rsid w:val="007E5D4C"/>
    <w:rsid w:val="007E77A5"/>
    <w:rsid w:val="007F2739"/>
    <w:rsid w:val="007F75DB"/>
    <w:rsid w:val="0080358B"/>
    <w:rsid w:val="00804BC3"/>
    <w:rsid w:val="00805C6B"/>
    <w:rsid w:val="00806850"/>
    <w:rsid w:val="00810966"/>
    <w:rsid w:val="0081590E"/>
    <w:rsid w:val="00821B19"/>
    <w:rsid w:val="00821C9B"/>
    <w:rsid w:val="00823D30"/>
    <w:rsid w:val="008277BC"/>
    <w:rsid w:val="00827991"/>
    <w:rsid w:val="00830105"/>
    <w:rsid w:val="00841FC8"/>
    <w:rsid w:val="008438D2"/>
    <w:rsid w:val="0084406A"/>
    <w:rsid w:val="00850DC9"/>
    <w:rsid w:val="008516A5"/>
    <w:rsid w:val="00851BC6"/>
    <w:rsid w:val="0085381C"/>
    <w:rsid w:val="00853D9F"/>
    <w:rsid w:val="00854D0D"/>
    <w:rsid w:val="0085696D"/>
    <w:rsid w:val="00857482"/>
    <w:rsid w:val="00860551"/>
    <w:rsid w:val="008653ED"/>
    <w:rsid w:val="00872032"/>
    <w:rsid w:val="008823D1"/>
    <w:rsid w:val="008866ED"/>
    <w:rsid w:val="00886D98"/>
    <w:rsid w:val="00892DB0"/>
    <w:rsid w:val="0089387C"/>
    <w:rsid w:val="00894588"/>
    <w:rsid w:val="0089556E"/>
    <w:rsid w:val="008957BD"/>
    <w:rsid w:val="008A20B6"/>
    <w:rsid w:val="008A649D"/>
    <w:rsid w:val="008B26FB"/>
    <w:rsid w:val="008B5E8E"/>
    <w:rsid w:val="008B6DDC"/>
    <w:rsid w:val="008C138C"/>
    <w:rsid w:val="008C78E8"/>
    <w:rsid w:val="008D1316"/>
    <w:rsid w:val="008D1C21"/>
    <w:rsid w:val="008D262B"/>
    <w:rsid w:val="008D3E67"/>
    <w:rsid w:val="008D48D5"/>
    <w:rsid w:val="008D7729"/>
    <w:rsid w:val="008E170B"/>
    <w:rsid w:val="008E2429"/>
    <w:rsid w:val="008E2FF7"/>
    <w:rsid w:val="008E74B7"/>
    <w:rsid w:val="008E7900"/>
    <w:rsid w:val="008F3ED5"/>
    <w:rsid w:val="008F408A"/>
    <w:rsid w:val="008F5114"/>
    <w:rsid w:val="008F64B2"/>
    <w:rsid w:val="009062D0"/>
    <w:rsid w:val="00906A16"/>
    <w:rsid w:val="00907091"/>
    <w:rsid w:val="00910B51"/>
    <w:rsid w:val="00910FC0"/>
    <w:rsid w:val="00921E31"/>
    <w:rsid w:val="0092540D"/>
    <w:rsid w:val="00931532"/>
    <w:rsid w:val="00932497"/>
    <w:rsid w:val="00935960"/>
    <w:rsid w:val="00947FC9"/>
    <w:rsid w:val="0095007F"/>
    <w:rsid w:val="009501CE"/>
    <w:rsid w:val="00950DE8"/>
    <w:rsid w:val="00952893"/>
    <w:rsid w:val="00955E17"/>
    <w:rsid w:val="00957D8B"/>
    <w:rsid w:val="0096528C"/>
    <w:rsid w:val="0096651F"/>
    <w:rsid w:val="0096774C"/>
    <w:rsid w:val="00971235"/>
    <w:rsid w:val="009722A5"/>
    <w:rsid w:val="00976778"/>
    <w:rsid w:val="00980DB8"/>
    <w:rsid w:val="009834D5"/>
    <w:rsid w:val="00985007"/>
    <w:rsid w:val="009853C6"/>
    <w:rsid w:val="00991103"/>
    <w:rsid w:val="00992AE2"/>
    <w:rsid w:val="00993FCC"/>
    <w:rsid w:val="009941C6"/>
    <w:rsid w:val="0099719E"/>
    <w:rsid w:val="00997763"/>
    <w:rsid w:val="009A27FA"/>
    <w:rsid w:val="009B1BE5"/>
    <w:rsid w:val="009B2525"/>
    <w:rsid w:val="009B6F01"/>
    <w:rsid w:val="009C7D9C"/>
    <w:rsid w:val="009D29BA"/>
    <w:rsid w:val="009D31D9"/>
    <w:rsid w:val="009D3CCD"/>
    <w:rsid w:val="009E1CA6"/>
    <w:rsid w:val="009E3CDD"/>
    <w:rsid w:val="009F2238"/>
    <w:rsid w:val="009F474F"/>
    <w:rsid w:val="009F7D62"/>
    <w:rsid w:val="00A02497"/>
    <w:rsid w:val="00A0658A"/>
    <w:rsid w:val="00A10308"/>
    <w:rsid w:val="00A11683"/>
    <w:rsid w:val="00A1431A"/>
    <w:rsid w:val="00A165B3"/>
    <w:rsid w:val="00A25C99"/>
    <w:rsid w:val="00A2621F"/>
    <w:rsid w:val="00A3191F"/>
    <w:rsid w:val="00A322F6"/>
    <w:rsid w:val="00A32516"/>
    <w:rsid w:val="00A35788"/>
    <w:rsid w:val="00A3606D"/>
    <w:rsid w:val="00A44274"/>
    <w:rsid w:val="00A4491B"/>
    <w:rsid w:val="00A44FE8"/>
    <w:rsid w:val="00A453F3"/>
    <w:rsid w:val="00A57D84"/>
    <w:rsid w:val="00A66930"/>
    <w:rsid w:val="00A67476"/>
    <w:rsid w:val="00A704EE"/>
    <w:rsid w:val="00A70C01"/>
    <w:rsid w:val="00A75294"/>
    <w:rsid w:val="00A7798D"/>
    <w:rsid w:val="00A87118"/>
    <w:rsid w:val="00A876F5"/>
    <w:rsid w:val="00A92D09"/>
    <w:rsid w:val="00A951BA"/>
    <w:rsid w:val="00AA03C7"/>
    <w:rsid w:val="00AA0688"/>
    <w:rsid w:val="00AA2482"/>
    <w:rsid w:val="00AA374E"/>
    <w:rsid w:val="00AA4793"/>
    <w:rsid w:val="00AB1901"/>
    <w:rsid w:val="00AB2B8C"/>
    <w:rsid w:val="00AB3AF6"/>
    <w:rsid w:val="00AD354E"/>
    <w:rsid w:val="00AE2354"/>
    <w:rsid w:val="00AE5FD3"/>
    <w:rsid w:val="00AF0FBE"/>
    <w:rsid w:val="00AF20BE"/>
    <w:rsid w:val="00AF3344"/>
    <w:rsid w:val="00B0371D"/>
    <w:rsid w:val="00B06EF7"/>
    <w:rsid w:val="00B06F1D"/>
    <w:rsid w:val="00B1043D"/>
    <w:rsid w:val="00B146DD"/>
    <w:rsid w:val="00B15BE0"/>
    <w:rsid w:val="00B21776"/>
    <w:rsid w:val="00B24B34"/>
    <w:rsid w:val="00B27550"/>
    <w:rsid w:val="00B27F0A"/>
    <w:rsid w:val="00B30355"/>
    <w:rsid w:val="00B32A9A"/>
    <w:rsid w:val="00B3424E"/>
    <w:rsid w:val="00B35FE8"/>
    <w:rsid w:val="00B40325"/>
    <w:rsid w:val="00B418AF"/>
    <w:rsid w:val="00B43D68"/>
    <w:rsid w:val="00B52BC9"/>
    <w:rsid w:val="00B55621"/>
    <w:rsid w:val="00B60D3C"/>
    <w:rsid w:val="00B642EF"/>
    <w:rsid w:val="00B64CCD"/>
    <w:rsid w:val="00B657A3"/>
    <w:rsid w:val="00B673ED"/>
    <w:rsid w:val="00B7217C"/>
    <w:rsid w:val="00B730A6"/>
    <w:rsid w:val="00B862C0"/>
    <w:rsid w:val="00B87230"/>
    <w:rsid w:val="00B922A8"/>
    <w:rsid w:val="00B9411F"/>
    <w:rsid w:val="00BA0DA2"/>
    <w:rsid w:val="00BA1358"/>
    <w:rsid w:val="00BA141D"/>
    <w:rsid w:val="00BA2173"/>
    <w:rsid w:val="00BA3BD5"/>
    <w:rsid w:val="00BA6355"/>
    <w:rsid w:val="00BA6D8D"/>
    <w:rsid w:val="00BB1934"/>
    <w:rsid w:val="00BB58AB"/>
    <w:rsid w:val="00BB72D3"/>
    <w:rsid w:val="00BC52C5"/>
    <w:rsid w:val="00BC5846"/>
    <w:rsid w:val="00BD1F78"/>
    <w:rsid w:val="00BD48B1"/>
    <w:rsid w:val="00BD4D90"/>
    <w:rsid w:val="00BD6985"/>
    <w:rsid w:val="00BD6BB9"/>
    <w:rsid w:val="00BE66B0"/>
    <w:rsid w:val="00BF1982"/>
    <w:rsid w:val="00BF6DE5"/>
    <w:rsid w:val="00C01106"/>
    <w:rsid w:val="00C01145"/>
    <w:rsid w:val="00C022B8"/>
    <w:rsid w:val="00C0233A"/>
    <w:rsid w:val="00C04F79"/>
    <w:rsid w:val="00C06BAF"/>
    <w:rsid w:val="00C0774E"/>
    <w:rsid w:val="00C11034"/>
    <w:rsid w:val="00C205F2"/>
    <w:rsid w:val="00C22DBF"/>
    <w:rsid w:val="00C2437C"/>
    <w:rsid w:val="00C30590"/>
    <w:rsid w:val="00C3175F"/>
    <w:rsid w:val="00C318BC"/>
    <w:rsid w:val="00C33472"/>
    <w:rsid w:val="00C40F14"/>
    <w:rsid w:val="00C53A50"/>
    <w:rsid w:val="00C551C7"/>
    <w:rsid w:val="00C65142"/>
    <w:rsid w:val="00C661F9"/>
    <w:rsid w:val="00C66719"/>
    <w:rsid w:val="00C83EE0"/>
    <w:rsid w:val="00C84F94"/>
    <w:rsid w:val="00C87BBD"/>
    <w:rsid w:val="00C937CE"/>
    <w:rsid w:val="00C97C97"/>
    <w:rsid w:val="00CB2D03"/>
    <w:rsid w:val="00CB4939"/>
    <w:rsid w:val="00CB67CD"/>
    <w:rsid w:val="00CC0ACB"/>
    <w:rsid w:val="00CC30B4"/>
    <w:rsid w:val="00CC64E4"/>
    <w:rsid w:val="00CC68D6"/>
    <w:rsid w:val="00CC7247"/>
    <w:rsid w:val="00CC7CFD"/>
    <w:rsid w:val="00CC7D19"/>
    <w:rsid w:val="00CD02C2"/>
    <w:rsid w:val="00CD14C0"/>
    <w:rsid w:val="00CD3BBB"/>
    <w:rsid w:val="00CD5822"/>
    <w:rsid w:val="00CE3597"/>
    <w:rsid w:val="00CE4C0A"/>
    <w:rsid w:val="00CF0BBA"/>
    <w:rsid w:val="00CF601D"/>
    <w:rsid w:val="00CF75A9"/>
    <w:rsid w:val="00D01E0B"/>
    <w:rsid w:val="00D0240A"/>
    <w:rsid w:val="00D0540F"/>
    <w:rsid w:val="00D061D8"/>
    <w:rsid w:val="00D0712A"/>
    <w:rsid w:val="00D10A82"/>
    <w:rsid w:val="00D13B74"/>
    <w:rsid w:val="00D144DD"/>
    <w:rsid w:val="00D20692"/>
    <w:rsid w:val="00D21E8B"/>
    <w:rsid w:val="00D242FF"/>
    <w:rsid w:val="00D25538"/>
    <w:rsid w:val="00D2627B"/>
    <w:rsid w:val="00D310BB"/>
    <w:rsid w:val="00D33587"/>
    <w:rsid w:val="00D349C7"/>
    <w:rsid w:val="00D34F9F"/>
    <w:rsid w:val="00D4039C"/>
    <w:rsid w:val="00D415F6"/>
    <w:rsid w:val="00D4463C"/>
    <w:rsid w:val="00D44F60"/>
    <w:rsid w:val="00D47599"/>
    <w:rsid w:val="00D47E55"/>
    <w:rsid w:val="00D50116"/>
    <w:rsid w:val="00D518D7"/>
    <w:rsid w:val="00D55E24"/>
    <w:rsid w:val="00D56FAA"/>
    <w:rsid w:val="00D61111"/>
    <w:rsid w:val="00D67F69"/>
    <w:rsid w:val="00D7021C"/>
    <w:rsid w:val="00D728A9"/>
    <w:rsid w:val="00D73EE9"/>
    <w:rsid w:val="00D7712C"/>
    <w:rsid w:val="00D801DB"/>
    <w:rsid w:val="00D83A25"/>
    <w:rsid w:val="00D85099"/>
    <w:rsid w:val="00D85474"/>
    <w:rsid w:val="00D865B9"/>
    <w:rsid w:val="00D90E2D"/>
    <w:rsid w:val="00D96379"/>
    <w:rsid w:val="00DA109E"/>
    <w:rsid w:val="00DA37D1"/>
    <w:rsid w:val="00DB084D"/>
    <w:rsid w:val="00DB3E78"/>
    <w:rsid w:val="00DB4F81"/>
    <w:rsid w:val="00DB5E0C"/>
    <w:rsid w:val="00DB73C6"/>
    <w:rsid w:val="00DC17C4"/>
    <w:rsid w:val="00DC4345"/>
    <w:rsid w:val="00DD2E72"/>
    <w:rsid w:val="00DD59DC"/>
    <w:rsid w:val="00DE51A4"/>
    <w:rsid w:val="00DF5E93"/>
    <w:rsid w:val="00E0271A"/>
    <w:rsid w:val="00E03C8A"/>
    <w:rsid w:val="00E0632D"/>
    <w:rsid w:val="00E0696C"/>
    <w:rsid w:val="00E0733E"/>
    <w:rsid w:val="00E109B6"/>
    <w:rsid w:val="00E234A0"/>
    <w:rsid w:val="00E2544B"/>
    <w:rsid w:val="00E25701"/>
    <w:rsid w:val="00E27450"/>
    <w:rsid w:val="00E27AA2"/>
    <w:rsid w:val="00E31F09"/>
    <w:rsid w:val="00E3614B"/>
    <w:rsid w:val="00E36F7E"/>
    <w:rsid w:val="00E3752E"/>
    <w:rsid w:val="00E404B9"/>
    <w:rsid w:val="00E412D8"/>
    <w:rsid w:val="00E4601C"/>
    <w:rsid w:val="00E60D52"/>
    <w:rsid w:val="00E6280E"/>
    <w:rsid w:val="00E62E1A"/>
    <w:rsid w:val="00E66525"/>
    <w:rsid w:val="00E66EC7"/>
    <w:rsid w:val="00E70B23"/>
    <w:rsid w:val="00E72A71"/>
    <w:rsid w:val="00E74267"/>
    <w:rsid w:val="00E74D6B"/>
    <w:rsid w:val="00E74FD6"/>
    <w:rsid w:val="00E81943"/>
    <w:rsid w:val="00E81A68"/>
    <w:rsid w:val="00E81B2E"/>
    <w:rsid w:val="00E8446F"/>
    <w:rsid w:val="00E93730"/>
    <w:rsid w:val="00E93D6A"/>
    <w:rsid w:val="00E95173"/>
    <w:rsid w:val="00E9652D"/>
    <w:rsid w:val="00E96621"/>
    <w:rsid w:val="00EA73F9"/>
    <w:rsid w:val="00EB1842"/>
    <w:rsid w:val="00EB5155"/>
    <w:rsid w:val="00EB6AB0"/>
    <w:rsid w:val="00EB6F76"/>
    <w:rsid w:val="00EC0C43"/>
    <w:rsid w:val="00EC0CDA"/>
    <w:rsid w:val="00EC122C"/>
    <w:rsid w:val="00EC3287"/>
    <w:rsid w:val="00EC32E8"/>
    <w:rsid w:val="00ED0014"/>
    <w:rsid w:val="00ED3E70"/>
    <w:rsid w:val="00ED4B25"/>
    <w:rsid w:val="00EE1ABA"/>
    <w:rsid w:val="00EE35D1"/>
    <w:rsid w:val="00EF2CE1"/>
    <w:rsid w:val="00EF2EE8"/>
    <w:rsid w:val="00EF31A9"/>
    <w:rsid w:val="00EF3C93"/>
    <w:rsid w:val="00F25E07"/>
    <w:rsid w:val="00F27BF3"/>
    <w:rsid w:val="00F350A3"/>
    <w:rsid w:val="00F418AE"/>
    <w:rsid w:val="00F444EB"/>
    <w:rsid w:val="00F47C4B"/>
    <w:rsid w:val="00F61CDC"/>
    <w:rsid w:val="00F621B2"/>
    <w:rsid w:val="00F62744"/>
    <w:rsid w:val="00F66139"/>
    <w:rsid w:val="00F70D1B"/>
    <w:rsid w:val="00F71161"/>
    <w:rsid w:val="00F7514F"/>
    <w:rsid w:val="00F81E92"/>
    <w:rsid w:val="00F87E8D"/>
    <w:rsid w:val="00F959D3"/>
    <w:rsid w:val="00FA2770"/>
    <w:rsid w:val="00FC03D6"/>
    <w:rsid w:val="00FC2881"/>
    <w:rsid w:val="00FC32CB"/>
    <w:rsid w:val="00FD008F"/>
    <w:rsid w:val="00FD1721"/>
    <w:rsid w:val="00FD2B77"/>
    <w:rsid w:val="00FE5A6A"/>
    <w:rsid w:val="00FF095C"/>
    <w:rsid w:val="00FF242C"/>
    <w:rsid w:val="00FF2606"/>
    <w:rsid w:val="00FF393B"/>
    <w:rsid w:val="00FF40B3"/>
    <w:rsid w:val="00FF64E3"/>
    <w:rsid w:val="00FF65DB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6C69"/>
  <w15:docId w15:val="{3F3EEAA0-0086-4710-8170-55C267FE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de-D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51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7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BF7A-5D97-43E3-82AF-FCF93818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Hoffelder,Dr.,Thomas (gBCA) BIP-DE-I</dc:creator>
  <cp:lastModifiedBy>Igl,Dr.,Bernd-Wolfgang (MED BDS) BIP-DE-B</cp:lastModifiedBy>
  <cp:revision>5</cp:revision>
  <dcterms:created xsi:type="dcterms:W3CDTF">2022-09-15T09:40:00Z</dcterms:created>
  <dcterms:modified xsi:type="dcterms:W3CDTF">2022-11-03T17:09:00Z</dcterms:modified>
</cp:coreProperties>
</file>